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宋体" w:hAnsi="宋体"/>
          <w:sz w:val="28"/>
          <w:szCs w:val="28"/>
        </w:rPr>
      </w:pPr>
      <w:r>
        <w:rPr>
          <w:rFonts w:hint="eastAsia" w:ascii="宋体" w:hAnsi="宋体"/>
          <w:b/>
          <w:sz w:val="28"/>
          <w:szCs w:val="28"/>
        </w:rPr>
        <w:t>项目名称：</w:t>
      </w:r>
      <w:r>
        <w:rPr>
          <w:rFonts w:hint="eastAsia" w:ascii="宋体" w:hAnsi="宋体"/>
          <w:b/>
          <w:bCs/>
          <w:sz w:val="28"/>
          <w:szCs w:val="28"/>
        </w:rPr>
        <w:t>生产建设项目水土保持方案审批</w:t>
      </w:r>
    </w:p>
    <w:p>
      <w:pPr>
        <w:spacing w:line="520" w:lineRule="exact"/>
        <w:ind w:left="1"/>
        <w:rPr>
          <w:rFonts w:hint="eastAsia" w:ascii="宋体" w:hAnsi="宋体"/>
          <w:sz w:val="28"/>
          <w:szCs w:val="28"/>
        </w:rPr>
      </w:pPr>
      <w:r>
        <w:rPr>
          <w:rFonts w:hint="eastAsia" w:ascii="宋体" w:hAnsi="宋体"/>
          <w:b/>
          <w:sz w:val="28"/>
          <w:szCs w:val="28"/>
        </w:rPr>
        <w:t>办理依据：</w:t>
      </w:r>
      <w:r>
        <w:rPr>
          <w:rFonts w:hint="eastAsia" w:ascii="宋体" w:hAnsi="宋体"/>
          <w:sz w:val="28"/>
          <w:szCs w:val="28"/>
        </w:rPr>
        <w:t>1.《中华人民共和国水土保持法》（中华人民共和国主席令第39号）第二十五条第一款、第三款2.（二）《中华人民共和国水土保持法》（中华人民共和国主席令第39号）第二十六条</w:t>
      </w:r>
    </w:p>
    <w:p>
      <w:pPr>
        <w:spacing w:line="520" w:lineRule="exact"/>
        <w:rPr>
          <w:rFonts w:hint="eastAsia" w:ascii="宋体" w:hAnsi="宋体"/>
          <w:sz w:val="28"/>
          <w:szCs w:val="28"/>
        </w:rPr>
      </w:pPr>
      <w:r>
        <w:rPr>
          <w:rFonts w:hint="eastAsia" w:ascii="宋体" w:hAnsi="宋体"/>
          <w:b/>
          <w:sz w:val="28"/>
          <w:szCs w:val="28"/>
        </w:rPr>
        <w:t>办理范围：</w:t>
      </w:r>
      <w:r>
        <w:rPr>
          <w:rFonts w:hint="eastAsia" w:ascii="宋体" w:hAnsi="宋体"/>
          <w:sz w:val="28"/>
          <w:szCs w:val="28"/>
        </w:rPr>
        <w:t>负责市里立项的生产建设项目水土保持方案审批；区域内跨县市的生产建设项目水土保持方案审批。</w:t>
      </w:r>
    </w:p>
    <w:p>
      <w:pPr>
        <w:spacing w:line="520" w:lineRule="exact"/>
        <w:rPr>
          <w:rFonts w:hint="eastAsia" w:ascii="宋体" w:hAnsi="宋体"/>
          <w:sz w:val="28"/>
          <w:szCs w:val="28"/>
        </w:rPr>
      </w:pPr>
      <w:r>
        <w:rPr>
          <w:rFonts w:hint="eastAsia" w:ascii="宋体" w:hAnsi="宋体"/>
          <w:b/>
          <w:sz w:val="28"/>
          <w:szCs w:val="28"/>
        </w:rPr>
        <w:t>办理条件：</w:t>
      </w:r>
      <w:r>
        <w:rPr>
          <w:rFonts w:hint="eastAsia" w:ascii="宋体" w:hAnsi="宋体"/>
          <w:sz w:val="28"/>
          <w:szCs w:val="28"/>
        </w:rPr>
        <w:t>1.符合有关法律、法规、规章和规范性文件规定；2.符合《开发建设项目水土保持方案技术规范》等国家、行业的水土保持技术规范、标准；3.水土流失防治责任范围明确；4.水土流失防治措施合理、有效，与周边环境相协调，并达到主体工程设计深度；5.水土保持投资估算编制依据可靠、方法合理、结果正确；6.水土保持监测的内容和方法得当。</w:t>
      </w:r>
    </w:p>
    <w:p>
      <w:pPr>
        <w:spacing w:line="520" w:lineRule="exact"/>
        <w:rPr>
          <w:rFonts w:hint="eastAsia" w:ascii="宋体" w:hAnsi="宋体"/>
          <w:b/>
          <w:sz w:val="28"/>
          <w:szCs w:val="28"/>
        </w:rPr>
      </w:pPr>
      <w:r>
        <w:rPr>
          <w:rFonts w:hint="eastAsia" w:ascii="宋体" w:hAnsi="宋体"/>
          <w:b/>
          <w:sz w:val="28"/>
          <w:szCs w:val="28"/>
        </w:rPr>
        <w:t>申报材料：情形名称（一）生产建设项目水土保持方案审批</w:t>
      </w:r>
    </w:p>
    <w:p>
      <w:pPr>
        <w:spacing w:line="520" w:lineRule="exact"/>
        <w:ind w:firstLine="1400" w:firstLineChars="500"/>
        <w:rPr>
          <w:rFonts w:hint="eastAsia" w:ascii="宋体" w:hAnsi="宋体"/>
          <w:sz w:val="28"/>
          <w:szCs w:val="28"/>
        </w:rPr>
      </w:pPr>
      <w:r>
        <w:rPr>
          <w:rFonts w:hint="eastAsia" w:ascii="宋体" w:hAnsi="宋体"/>
          <w:sz w:val="28"/>
          <w:szCs w:val="28"/>
        </w:rPr>
        <w:t>1.生产建设单位水土保持方案审批申请文件</w:t>
      </w:r>
      <w:r>
        <w:rPr>
          <w:rFonts w:hint="eastAsia" w:ascii="宋体" w:hAnsi="宋体"/>
          <w:sz w:val="28"/>
          <w:szCs w:val="28"/>
          <w:lang w:eastAsia="zh-CN"/>
        </w:rPr>
        <w:t>三份</w:t>
      </w:r>
      <w:r>
        <w:rPr>
          <w:rFonts w:hint="eastAsia" w:ascii="宋体" w:hAnsi="宋体"/>
          <w:sz w:val="28"/>
          <w:szCs w:val="28"/>
        </w:rPr>
        <w:t>；</w:t>
      </w:r>
    </w:p>
    <w:p>
      <w:pPr>
        <w:spacing w:line="520" w:lineRule="exact"/>
        <w:ind w:firstLine="1400" w:firstLineChars="500"/>
        <w:rPr>
          <w:rFonts w:hint="eastAsia" w:ascii="宋体" w:hAnsi="宋体"/>
          <w:sz w:val="28"/>
          <w:szCs w:val="28"/>
        </w:rPr>
      </w:pPr>
      <w:r>
        <w:rPr>
          <w:rFonts w:hint="eastAsia" w:ascii="宋体" w:hAnsi="宋体"/>
          <w:sz w:val="28"/>
          <w:szCs w:val="28"/>
        </w:rPr>
        <w:t>2.生产建设项目水土保持方案报告书</w:t>
      </w:r>
      <w:r>
        <w:rPr>
          <w:rFonts w:hint="eastAsia" w:ascii="宋体" w:hAnsi="宋体"/>
          <w:sz w:val="28"/>
          <w:szCs w:val="28"/>
          <w:lang w:eastAsia="zh-CN"/>
        </w:rPr>
        <w:t>（报告表）三份</w:t>
      </w:r>
      <w:r>
        <w:rPr>
          <w:rFonts w:hint="eastAsia" w:ascii="宋体" w:hAnsi="宋体"/>
          <w:sz w:val="28"/>
          <w:szCs w:val="28"/>
        </w:rPr>
        <w:t>。</w:t>
      </w:r>
    </w:p>
    <w:p>
      <w:pPr>
        <w:spacing w:line="520" w:lineRule="exact"/>
        <w:rPr>
          <w:rFonts w:hint="eastAsia" w:ascii="宋体" w:hAnsi="宋体"/>
          <w:sz w:val="28"/>
          <w:szCs w:val="28"/>
          <w:lang w:eastAsia="zh-CN"/>
        </w:rPr>
      </w:pPr>
      <w:r>
        <w:rPr>
          <w:rFonts w:hint="eastAsia" w:ascii="宋体" w:hAnsi="宋体"/>
          <w:sz w:val="28"/>
          <w:szCs w:val="28"/>
          <w:lang w:eastAsia="zh-CN"/>
        </w:rPr>
        <w:t>注：</w:t>
      </w:r>
      <w:r>
        <w:rPr>
          <w:rFonts w:hint="eastAsia" w:ascii="宋体" w:hAnsi="宋体"/>
          <w:sz w:val="28"/>
          <w:szCs w:val="28"/>
        </w:rPr>
        <w:t>征占地面积在5公顷以上或者挖填土石方总量在5万立方米以上的生产建设项目（以下简称项目）应当编制水土保持方案报告书（附专家技术评审意见），征占地面积在0.5公顷以上5公顷以下或者挖填土石方总量在1千立方米以上5万立方米以下的项目编制水土保持方案报告表（实行承诺制管理的项目水土保持方案，由生产建设单位从省级水行政主管部门水土保持方案专家库中自行选取至少一名专家签署是否同意意见，审批部门不再组织技术评审。）。征占地面积不足0.5公顷且挖填土石方总量不足1千立方米的项目，不再办理水土保持方案审批手续，生产建设单位和个人依法做好水土流失防治工作。</w:t>
      </w:r>
    </w:p>
    <w:p>
      <w:pPr>
        <w:spacing w:line="520" w:lineRule="exact"/>
        <w:rPr>
          <w:rFonts w:hint="eastAsia" w:ascii="宋体" w:hAnsi="宋体"/>
          <w:b/>
          <w:sz w:val="28"/>
          <w:szCs w:val="28"/>
        </w:rPr>
      </w:pPr>
      <w:r>
        <w:rPr>
          <w:rFonts w:hint="eastAsia" w:ascii="宋体" w:hAnsi="宋体"/>
          <w:b/>
          <w:sz w:val="28"/>
          <w:szCs w:val="28"/>
        </w:rPr>
        <w:t>情形名称（二）</w:t>
      </w:r>
      <w:r>
        <w:rPr>
          <w:rFonts w:hint="eastAsia" w:ascii="宋体" w:hAnsi="宋体"/>
          <w:sz w:val="28"/>
          <w:szCs w:val="28"/>
        </w:rPr>
        <w:t>推行水土保持区域评估的开发区内生产建设项目水土保持方案审批</w:t>
      </w:r>
    </w:p>
    <w:p>
      <w:pPr>
        <w:numPr>
          <w:ilvl w:val="0"/>
          <w:numId w:val="0"/>
        </w:numPr>
        <w:spacing w:line="520" w:lineRule="exact"/>
        <w:ind w:firstLine="1400" w:firstLineChars="500"/>
        <w:rPr>
          <w:rFonts w:hint="eastAsia" w:ascii="宋体" w:hAnsi="宋体"/>
          <w:sz w:val="28"/>
          <w:szCs w:val="28"/>
        </w:rPr>
      </w:pPr>
      <w:r>
        <w:rPr>
          <w:rFonts w:hint="eastAsia" w:ascii="宋体" w:hAnsi="宋体"/>
          <w:sz w:val="28"/>
          <w:szCs w:val="28"/>
          <w:lang w:val="en-US" w:eastAsia="zh-CN"/>
        </w:rPr>
        <w:t>1.</w:t>
      </w:r>
      <w:r>
        <w:rPr>
          <w:rFonts w:hint="eastAsia" w:ascii="宋体" w:hAnsi="宋体"/>
          <w:sz w:val="28"/>
          <w:szCs w:val="28"/>
        </w:rPr>
        <w:t>生产建设单位水土保持方案审批申请文件</w:t>
      </w:r>
      <w:r>
        <w:rPr>
          <w:rFonts w:hint="eastAsia" w:ascii="宋体" w:hAnsi="宋体"/>
          <w:sz w:val="28"/>
          <w:szCs w:val="28"/>
          <w:lang w:eastAsia="zh-CN"/>
        </w:rPr>
        <w:t>三份</w:t>
      </w:r>
      <w:r>
        <w:rPr>
          <w:rFonts w:hint="eastAsia" w:ascii="宋体" w:hAnsi="宋体"/>
          <w:sz w:val="28"/>
          <w:szCs w:val="28"/>
        </w:rPr>
        <w:t>；</w:t>
      </w:r>
    </w:p>
    <w:p>
      <w:pPr>
        <w:spacing w:line="520" w:lineRule="exact"/>
        <w:rPr>
          <w:rFonts w:hint="eastAsia" w:ascii="宋体" w:hAnsi="宋体"/>
          <w:sz w:val="28"/>
          <w:szCs w:val="28"/>
          <w:lang w:eastAsia="zh-CN"/>
        </w:rPr>
      </w:pPr>
      <w:r>
        <w:rPr>
          <w:rFonts w:hint="eastAsia" w:ascii="宋体" w:hAnsi="宋体"/>
          <w:sz w:val="28"/>
          <w:szCs w:val="28"/>
          <w:lang w:val="en-US" w:eastAsia="zh-CN"/>
        </w:rPr>
        <w:t xml:space="preserve">          2.</w:t>
      </w:r>
      <w:r>
        <w:rPr>
          <w:rFonts w:hint="eastAsia" w:ascii="宋体" w:hAnsi="宋体"/>
          <w:sz w:val="28"/>
          <w:szCs w:val="28"/>
        </w:rPr>
        <w:t>生产建设项目水土保持方案报告书或报告表</w:t>
      </w:r>
      <w:r>
        <w:rPr>
          <w:rFonts w:hint="eastAsia" w:ascii="宋体" w:hAnsi="宋体"/>
          <w:sz w:val="28"/>
          <w:szCs w:val="28"/>
          <w:lang w:eastAsia="zh-CN"/>
        </w:rPr>
        <w:t>三份。</w:t>
      </w:r>
    </w:p>
    <w:p>
      <w:pPr>
        <w:spacing w:line="520" w:lineRule="exact"/>
        <w:rPr>
          <w:rFonts w:hint="eastAsia" w:ascii="宋体" w:hAnsi="宋体"/>
          <w:sz w:val="28"/>
          <w:szCs w:val="28"/>
          <w:lang w:val="en-US" w:eastAsia="zh-CN"/>
        </w:rPr>
      </w:pPr>
      <w:r>
        <w:rPr>
          <w:rFonts w:hint="eastAsia" w:ascii="宋体" w:hAnsi="宋体"/>
          <w:sz w:val="28"/>
          <w:szCs w:val="28"/>
          <w:lang w:eastAsia="zh-CN"/>
        </w:rPr>
        <w:t>注：</w:t>
      </w:r>
      <w:r>
        <w:rPr>
          <w:rFonts w:hint="eastAsia" w:ascii="宋体" w:hAnsi="宋体"/>
          <w:sz w:val="28"/>
          <w:szCs w:val="28"/>
        </w:rPr>
        <w:t>1.开发区内的项目水土保持方案实行承诺制或备案制管理；2.实行承诺制管理的项目水土保持方案，由生产建设单位从省级水行政主管部门水土保持方案专家库中自行选取至少一名专家签署是否同意意见，审批部门不再组织技术评审。</w:t>
      </w:r>
    </w:p>
    <w:p>
      <w:pPr>
        <w:spacing w:line="520" w:lineRule="exact"/>
        <w:rPr>
          <w:rFonts w:hint="eastAsia" w:ascii="宋体" w:hAnsi="宋体"/>
          <w:b/>
          <w:sz w:val="28"/>
          <w:szCs w:val="28"/>
        </w:rPr>
      </w:pPr>
      <w:r>
        <w:rPr>
          <w:rFonts w:hint="eastAsia" w:ascii="宋体" w:hAnsi="宋体"/>
          <w:b/>
          <w:sz w:val="28"/>
          <w:szCs w:val="28"/>
        </w:rPr>
        <w:t>法定时限：</w:t>
      </w:r>
      <w:r>
        <w:rPr>
          <w:rFonts w:hint="eastAsia" w:ascii="宋体" w:hAnsi="宋体"/>
          <w:sz w:val="28"/>
          <w:szCs w:val="28"/>
        </w:rPr>
        <w:t>报告书20个工作日（对于特殊性质或者特大型开发建设项目，可以延长10日）（技术评审时间除外）。报告表10个工作日</w:t>
      </w:r>
    </w:p>
    <w:p>
      <w:pPr>
        <w:spacing w:line="520" w:lineRule="exact"/>
        <w:rPr>
          <w:rFonts w:hint="default" w:ascii="宋体" w:hAnsi="宋体" w:eastAsia="宋体"/>
          <w:sz w:val="28"/>
          <w:szCs w:val="28"/>
          <w:lang w:val="en-US" w:eastAsia="zh-CN"/>
        </w:rPr>
      </w:pPr>
      <w:r>
        <w:rPr>
          <w:rFonts w:hint="eastAsia" w:ascii="宋体" w:hAnsi="宋体"/>
          <w:b/>
          <w:sz w:val="28"/>
          <w:szCs w:val="28"/>
        </w:rPr>
        <w:t>承诺时限：</w:t>
      </w:r>
      <w:r>
        <w:rPr>
          <w:rFonts w:hint="eastAsia" w:ascii="宋体" w:hAnsi="宋体"/>
          <w:sz w:val="28"/>
          <w:szCs w:val="28"/>
          <w:lang w:eastAsia="zh-CN"/>
        </w:rPr>
        <w:t>报告书</w:t>
      </w:r>
      <w:r>
        <w:rPr>
          <w:rFonts w:hint="eastAsia" w:ascii="宋体" w:hAnsi="宋体"/>
          <w:sz w:val="28"/>
          <w:szCs w:val="28"/>
        </w:rPr>
        <w:t>8个工作日（特殊性质或者特大型的可以延长8个工作日）（技术评审时间除外）</w:t>
      </w:r>
      <w:r>
        <w:rPr>
          <w:rFonts w:hint="eastAsia" w:ascii="宋体" w:hAnsi="宋体"/>
          <w:sz w:val="28"/>
          <w:szCs w:val="28"/>
          <w:lang w:eastAsia="zh-CN"/>
        </w:rPr>
        <w:t>。报告表</w:t>
      </w:r>
      <w:r>
        <w:rPr>
          <w:rFonts w:hint="eastAsia" w:ascii="宋体" w:hAnsi="宋体"/>
          <w:sz w:val="28"/>
          <w:szCs w:val="28"/>
          <w:lang w:val="en-US" w:eastAsia="zh-CN"/>
        </w:rPr>
        <w:t>1个工作日（不技术评审）</w:t>
      </w:r>
    </w:p>
    <w:p>
      <w:pPr>
        <w:spacing w:line="520" w:lineRule="exact"/>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spacing w:line="520" w:lineRule="exact"/>
        <w:rPr>
          <w:rFonts w:hint="eastAsia" w:ascii="宋体" w:hAnsi="宋体"/>
          <w:sz w:val="28"/>
          <w:szCs w:val="28"/>
        </w:rPr>
      </w:pPr>
    </w:p>
    <w:p>
      <w:pPr>
        <w:spacing w:line="520" w:lineRule="exact"/>
        <w:rPr>
          <w:rFonts w:hint="eastAsia" w:ascii="宋体" w:hAnsi="宋体"/>
          <w:sz w:val="28"/>
          <w:szCs w:val="28"/>
        </w:rPr>
      </w:pPr>
    </w:p>
    <w:p>
      <w:pPr>
        <w:spacing w:line="520" w:lineRule="exact"/>
        <w:rPr>
          <w:rFonts w:hint="eastAsia" w:ascii="宋体" w:hAnsi="宋体"/>
          <w:sz w:val="28"/>
          <w:szCs w:val="28"/>
        </w:rPr>
      </w:pPr>
    </w:p>
    <w:p>
      <w:pPr>
        <w:spacing w:line="520" w:lineRule="exact"/>
        <w:rPr>
          <w:rFonts w:hint="eastAsia" w:ascii="宋体" w:hAnsi="宋体"/>
          <w:sz w:val="28"/>
          <w:szCs w:val="28"/>
        </w:rPr>
      </w:pPr>
    </w:p>
    <w:p>
      <w:pPr>
        <w:spacing w:line="520" w:lineRule="exact"/>
        <w:rPr>
          <w:rFonts w:hint="eastAsia" w:ascii="宋体" w:hAnsi="宋体"/>
          <w:sz w:val="28"/>
          <w:szCs w:val="28"/>
        </w:rPr>
      </w:pPr>
    </w:p>
    <w:p>
      <w:pPr>
        <w:spacing w:line="520" w:lineRule="exact"/>
        <w:rPr>
          <w:rFonts w:hint="eastAsia" w:ascii="宋体" w:hAnsi="宋体"/>
          <w:sz w:val="28"/>
          <w:szCs w:val="28"/>
        </w:rPr>
      </w:pPr>
    </w:p>
    <w:p>
      <w:pPr>
        <w:spacing w:line="520" w:lineRule="exact"/>
        <w:rPr>
          <w:rFonts w:hint="eastAsia" w:ascii="宋体" w:hAnsi="宋体"/>
          <w:sz w:val="28"/>
          <w:szCs w:val="28"/>
        </w:rPr>
      </w:pPr>
    </w:p>
    <w:p>
      <w:pPr>
        <w:spacing w:line="520" w:lineRule="exact"/>
        <w:rPr>
          <w:rFonts w:hint="eastAsia" w:ascii="宋体" w:hAnsi="宋体"/>
          <w:sz w:val="28"/>
          <w:szCs w:val="28"/>
        </w:rPr>
      </w:pPr>
    </w:p>
    <w:p>
      <w:pPr>
        <w:spacing w:line="520" w:lineRule="exact"/>
        <w:rPr>
          <w:rFonts w:hint="eastAsia" w:ascii="宋体" w:hAnsi="宋体"/>
          <w:sz w:val="28"/>
          <w:szCs w:val="28"/>
        </w:rPr>
      </w:pPr>
    </w:p>
    <w:p>
      <w:pPr>
        <w:spacing w:line="520" w:lineRule="exact"/>
        <w:rPr>
          <w:rFonts w:hint="eastAsia" w:ascii="宋体" w:hAnsi="宋体"/>
          <w:sz w:val="28"/>
          <w:szCs w:val="28"/>
        </w:rPr>
      </w:pPr>
    </w:p>
    <w:tbl>
      <w:tblPr>
        <w:tblStyle w:val="3"/>
        <w:tblW w:w="8460" w:type="dxa"/>
        <w:tblInd w:w="108" w:type="dxa"/>
        <w:tblBorders>
          <w:top w:val="single" w:color="auto" w:sz="18" w:space="0"/>
          <w:left w:val="single" w:color="auto" w:sz="18" w:space="0"/>
          <w:bottom w:val="single" w:color="auto" w:sz="18" w:space="0"/>
          <w:right w:val="single" w:color="auto" w:sz="18" w:space="0"/>
          <w:insideH w:val="single" w:color="auto" w:sz="18" w:space="0"/>
          <w:insideV w:val="single" w:color="auto" w:sz="18" w:space="0"/>
        </w:tblBorders>
        <w:tblLayout w:type="fixed"/>
        <w:tblCellMar>
          <w:top w:w="0" w:type="dxa"/>
          <w:left w:w="108" w:type="dxa"/>
          <w:bottom w:w="0" w:type="dxa"/>
          <w:right w:w="108" w:type="dxa"/>
        </w:tblCellMar>
      </w:tblPr>
      <w:tblGrid>
        <w:gridCol w:w="8460"/>
      </w:tblGrid>
      <w:tr>
        <w:tblPrEx>
          <w:tblBorders>
            <w:top w:val="single" w:color="auto" w:sz="18" w:space="0"/>
            <w:left w:val="single" w:color="auto" w:sz="18" w:space="0"/>
            <w:bottom w:val="single" w:color="auto" w:sz="18" w:space="0"/>
            <w:right w:val="single" w:color="auto" w:sz="18" w:space="0"/>
            <w:insideH w:val="single" w:color="auto" w:sz="18" w:space="0"/>
            <w:insideV w:val="single" w:color="auto" w:sz="18" w:space="0"/>
          </w:tblBorders>
          <w:tblLayout w:type="fixed"/>
          <w:tblCellMar>
            <w:top w:w="0" w:type="dxa"/>
            <w:left w:w="108" w:type="dxa"/>
            <w:bottom w:w="0" w:type="dxa"/>
            <w:right w:w="108" w:type="dxa"/>
          </w:tblCellMar>
        </w:tblPrEx>
        <w:trPr>
          <w:trHeight w:val="165" w:hRule="atLeast"/>
        </w:trPr>
        <w:tc>
          <w:tcPr>
            <w:tcW w:w="8460" w:type="dxa"/>
            <w:tcBorders>
              <w:top w:val="nil"/>
              <w:left w:val="nil"/>
              <w:right w:val="nil"/>
            </w:tcBorders>
            <w:vAlign w:val="top"/>
          </w:tcPr>
          <w:p>
            <w:pPr>
              <w:spacing w:line="360" w:lineRule="exact"/>
              <w:rPr>
                <w:rFonts w:hint="eastAsia" w:ascii="方正仿宋简体" w:eastAsia="方正仿宋简体"/>
                <w:sz w:val="32"/>
                <w:szCs w:val="32"/>
              </w:rPr>
            </w:pPr>
          </w:p>
        </w:tc>
      </w:tr>
    </w:tbl>
    <w:p>
      <w:pPr>
        <w:rPr>
          <w:rFonts w:hint="eastAsia"/>
          <w:b/>
          <w:szCs w:val="21"/>
        </w:rPr>
      </w:pPr>
      <w:r>
        <w:rPr>
          <w:rFonts w:hint="eastAsia"/>
          <w:b/>
          <w:szCs w:val="21"/>
        </w:rPr>
        <w:t>政务咨询电话：12345   投诉举报电话：12342   政务大厅服务电话：5181234   5188064</w:t>
      </w:r>
    </w:p>
    <w:p>
      <w:pPr>
        <w:rPr>
          <w:rFonts w:hint="eastAsia"/>
          <w:b/>
          <w:sz w:val="36"/>
          <w:szCs w:val="36"/>
        </w:rPr>
      </w:pPr>
    </w:p>
    <w:p>
      <w:pPr>
        <w:rPr>
          <w:rFonts w:hint="eastAsia"/>
          <w:b/>
          <w:sz w:val="36"/>
          <w:szCs w:val="36"/>
        </w:rPr>
      </w:pPr>
    </w:p>
    <w:p>
      <w:pPr>
        <w:jc w:val="center"/>
        <w:rPr>
          <w:rFonts w:hint="eastAsia"/>
          <w:b/>
          <w:sz w:val="36"/>
          <w:szCs w:val="36"/>
        </w:rPr>
      </w:pPr>
      <w:r>
        <w:rPr>
          <w:rFonts w:hint="eastAsia"/>
          <w:b/>
          <w:sz w:val="36"/>
          <w:szCs w:val="36"/>
        </w:rPr>
        <w:t>生产建设项目水土保持方案审批流程图</w:t>
      </w:r>
    </w:p>
    <w:p>
      <w:pPr>
        <w:jc w:val="center"/>
        <w:rPr>
          <w:rFonts w:hint="eastAsia"/>
          <w:b/>
          <w:sz w:val="36"/>
          <w:szCs w:val="36"/>
        </w:rPr>
      </w:pPr>
    </w:p>
    <w:p>
      <w:pPr>
        <w:jc w:val="center"/>
        <w:rPr>
          <w:rFonts w:hint="eastAsia"/>
          <w:b/>
          <w:sz w:val="36"/>
          <w:szCs w:val="36"/>
        </w:rPr>
      </w:pPr>
    </w:p>
    <w:p>
      <w:pPr>
        <w:jc w:val="center"/>
        <w:rPr>
          <w:rFonts w:hint="eastAsia"/>
          <w:b/>
          <w:sz w:val="36"/>
          <w:szCs w:val="36"/>
        </w:rPr>
      </w:pPr>
      <w:r>
        <w:drawing>
          <wp:inline distT="0" distB="0" distL="114300" distR="114300">
            <wp:extent cx="5709920" cy="5079365"/>
            <wp:effectExtent l="0" t="0" r="508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709920" cy="5079365"/>
                    </a:xfrm>
                    <a:prstGeom prst="rect">
                      <a:avLst/>
                    </a:prstGeom>
                    <a:noFill/>
                    <a:ln w="9525">
                      <a:noFill/>
                    </a:ln>
                  </pic:spPr>
                </pic:pic>
              </a:graphicData>
            </a:graphic>
          </wp:inline>
        </w:drawing>
      </w:r>
    </w:p>
    <w:p>
      <w:pPr>
        <w:rPr>
          <w:rFonts w:hint="eastAsia"/>
        </w:rPr>
      </w:pP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E65115"/>
    <w:rsid w:val="4BE65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2020-03-26T00:50:00Z</dcterms:created>
  <dc:creator>dell</dc:creator>
  <cp:lastModifiedBy>dell</cp:lastModifiedBy>
  <dcterms:modified xsi:type="dcterms:W3CDTF">2020-03-26T00:51:33Z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